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B725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7DBC42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 w14:paraId="3A53A2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安徽省科技成果转化概念验证中心和</w:t>
      </w:r>
    </w:p>
    <w:p w14:paraId="454454D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中试基地管理与绩效评价办法</w:t>
      </w:r>
    </w:p>
    <w:p w14:paraId="4EC7A3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（试行）</w:t>
      </w:r>
    </w:p>
    <w:p w14:paraId="33C347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（征求意见稿）</w:t>
      </w:r>
    </w:p>
    <w:p w14:paraId="6D0D7F86">
      <w:pPr>
        <w:pStyle w:val="4"/>
        <w:rPr>
          <w:rFonts w:hint="default" w:ascii="Times New Roman" w:hAnsi="Times New Roman" w:cs="Times New Roman"/>
          <w:lang w:eastAsia="zh-CN"/>
        </w:rPr>
      </w:pPr>
    </w:p>
    <w:p w14:paraId="17BBBE92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 总则</w:t>
      </w:r>
    </w:p>
    <w:p w14:paraId="77D2534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第一条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【制定依据】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为进一步深化科技成果转化机制改革，完善科技成果转移转化链条，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加强全省科技成果转化概念验证中心和中试基地管理评价，进一步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提升成果转化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效能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，加快培育新质生产力，制定本办法。</w:t>
      </w:r>
    </w:p>
    <w:p w14:paraId="2D10D5A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第二条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【功能定位】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本办法所称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安徽省科技成果转化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概念验证中心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（以下简称“概念验证中心”）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是指依托具备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较强研究开发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能力的高校院所、医疗卫生机构、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企业、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社会组织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集聚成果、人才、资本和市场等转化要素，营造概念验证生态系统，开展“原理验证”“产品与场景体系验证”“原型制备与技术可行性验证”“商业前景验证”等概念验证服务及关联服务，加速挖掘和释放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科技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成果价值的新型载体。省概念验证中心分为综合型和专业型两类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综合型概念验证中心可围绕多个学科或产业领域开展概念验证服务，专业型概念验证中心重点聚焦1-2个学科或产业领域开展概念验证服务。</w:t>
      </w:r>
    </w:p>
    <w:p w14:paraId="2BF98E06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本办法所称安徽省科技成果转化中试基地（以下简称“中试基地”）是指依托高校院所、医疗卫生机构、科技型企业、开发园区等建设，把处在试制阶段的新产品转化到生产过程的公共开发机构，是打通科技成果产业化关键环节的载体。</w:t>
      </w:r>
    </w:p>
    <w:p w14:paraId="38F979F8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Cs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</w:rPr>
        <w:t>第三条</w:t>
      </w:r>
      <w:r>
        <w:rPr>
          <w:rFonts w:hint="default" w:ascii="Times New Roman" w:hAnsi="Times New Roman" w:eastAsia="方正楷体_GBK" w:cs="Times New Roman"/>
          <w:b w:val="0"/>
          <w:bCs/>
          <w:lang w:eastAsia="zh-CN"/>
        </w:rPr>
        <w:t>【建设原则】</w:t>
      </w:r>
      <w:r>
        <w:rPr>
          <w:rFonts w:hint="default" w:ascii="Times New Roman" w:hAnsi="Times New Roman" w:eastAsia="仿宋" w:cs="Times New Roman"/>
          <w:b w:val="0"/>
          <w:bCs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  <w:lang w:eastAsia="zh-CN"/>
        </w:rPr>
        <w:t>概念验证中心、中试基地应立足服务</w:t>
      </w:r>
      <w:r>
        <w:rPr>
          <w:rFonts w:hint="default" w:ascii="Times New Roman" w:hAnsi="Times New Roman" w:eastAsia="方正仿宋_GBK" w:cs="Times New Roman"/>
          <w:b w:val="0"/>
          <w:bCs w:val="0"/>
        </w:rPr>
        <w:t>全省</w:t>
      </w:r>
      <w:r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  <w:t>科技创新和</w:t>
      </w:r>
      <w:r>
        <w:rPr>
          <w:rFonts w:hint="default" w:ascii="Times New Roman" w:hAnsi="Times New Roman" w:eastAsia="方正仿宋_GBK" w:cs="Times New Roman"/>
          <w:b w:val="0"/>
          <w:bCs w:val="0"/>
        </w:rPr>
        <w:t>产业</w:t>
      </w:r>
      <w:r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  <w:t>创新深度融合，</w:t>
      </w:r>
      <w:r>
        <w:rPr>
          <w:rFonts w:hint="default" w:ascii="Times New Roman" w:hAnsi="Times New Roman" w:eastAsia="方正仿宋_GBK" w:cs="Times New Roman"/>
          <w:b w:val="0"/>
          <w:bCs w:val="0"/>
          <w:szCs w:val="32"/>
          <w:lang w:eastAsia="zh-CN"/>
        </w:rPr>
        <w:t>坚持</w:t>
      </w:r>
      <w:r>
        <w:rPr>
          <w:rFonts w:hint="default" w:ascii="Times New Roman" w:hAnsi="Times New Roman" w:eastAsia="方正仿宋_GBK" w:cs="Times New Roman"/>
          <w:b w:val="0"/>
          <w:bCs w:val="0"/>
        </w:rPr>
        <w:t>政府引导、市场主导、开放共享、</w:t>
      </w:r>
      <w:r>
        <w:rPr>
          <w:rFonts w:hint="default" w:ascii="Times New Roman" w:hAnsi="Times New Roman" w:eastAsia="方正仿宋_GBK" w:cs="Times New Roman"/>
          <w:b w:val="0"/>
          <w:bCs w:val="0"/>
          <w:lang w:eastAsia="zh-CN"/>
        </w:rPr>
        <w:t>动态</w:t>
      </w:r>
      <w:r>
        <w:rPr>
          <w:rFonts w:hint="default" w:ascii="Times New Roman" w:hAnsi="Times New Roman" w:eastAsia="方正仿宋_GBK" w:cs="Times New Roman"/>
          <w:b w:val="0"/>
          <w:bCs w:val="0"/>
        </w:rPr>
        <w:t>管理。</w:t>
      </w:r>
    </w:p>
    <w:p w14:paraId="6DBF1093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both"/>
        <w:rPr>
          <w:rFonts w:hint="default" w:ascii="Times New Roman" w:hAnsi="Times New Roman" w:eastAsia="仿宋" w:cs="Times New Roman"/>
          <w:b w:val="0"/>
          <w:bCs/>
        </w:rPr>
      </w:pPr>
      <w:r>
        <w:rPr>
          <w:rFonts w:hint="default" w:ascii="Times New Roman" w:hAnsi="Times New Roman" w:eastAsia="方正楷体_GBK" w:cs="Times New Roman"/>
          <w:b w:val="0"/>
          <w:bCs/>
        </w:rPr>
        <w:t>第四条</w:t>
      </w:r>
      <w:r>
        <w:rPr>
          <w:rFonts w:hint="default" w:ascii="Times New Roman" w:hAnsi="Times New Roman" w:eastAsia="方正楷体_GBK" w:cs="Times New Roman"/>
          <w:b w:val="0"/>
          <w:bCs/>
          <w:lang w:eastAsia="zh-CN"/>
        </w:rPr>
        <w:t>【部门职责】</w:t>
      </w:r>
      <w:r>
        <w:rPr>
          <w:rFonts w:hint="default" w:ascii="Times New Roman" w:hAnsi="Times New Roman" w:eastAsia="仿宋" w:cs="Times New Roman"/>
          <w:b w:val="0"/>
          <w:bCs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</w:rPr>
        <w:t>省科技厅负责全省概念验证中心</w:t>
      </w: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b w:val="0"/>
          <w:bCs/>
        </w:rPr>
        <w:t>的</w:t>
      </w: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统筹</w:t>
      </w:r>
      <w:r>
        <w:rPr>
          <w:rFonts w:hint="default" w:ascii="Times New Roman" w:hAnsi="Times New Roman" w:eastAsia="方正仿宋_GBK" w:cs="Times New Roman"/>
          <w:b w:val="0"/>
          <w:bCs/>
        </w:rPr>
        <w:t>布局、备案指导、绩效评价。各</w:t>
      </w: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地</w:t>
      </w:r>
      <w:r>
        <w:rPr>
          <w:rFonts w:hint="default" w:ascii="Times New Roman" w:hAnsi="Times New Roman" w:eastAsia="方正仿宋_GBK" w:cs="Times New Roman"/>
          <w:b w:val="0"/>
          <w:bCs/>
        </w:rPr>
        <w:t>科技部门负责本区域内概念验证中心</w:t>
      </w: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b w:val="0"/>
          <w:bCs/>
        </w:rPr>
        <w:t>的培育建设等工作</w:t>
      </w: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，加强工作协同和政策</w:t>
      </w:r>
      <w:r>
        <w:rPr>
          <w:rFonts w:hint="default" w:ascii="Times New Roman" w:hAnsi="Times New Roman" w:eastAsia="方正仿宋_GBK" w:cs="Times New Roman"/>
          <w:b w:val="0"/>
          <w:bCs/>
        </w:rPr>
        <w:t>扶持，定期跟踪建设进展，协调解决困难</w:t>
      </w:r>
      <w:r>
        <w:rPr>
          <w:rFonts w:hint="default" w:ascii="Times New Roman" w:hAnsi="Times New Roman" w:eastAsia="方正仿宋_GBK" w:cs="Times New Roman"/>
          <w:b w:val="0"/>
          <w:bCs/>
          <w:lang w:eastAsia="zh-CN"/>
        </w:rPr>
        <w:t>和问题</w:t>
      </w:r>
      <w:r>
        <w:rPr>
          <w:rFonts w:hint="default" w:ascii="Times New Roman" w:hAnsi="Times New Roman" w:eastAsia="方正仿宋_GBK" w:cs="Times New Roman"/>
          <w:b w:val="0"/>
          <w:bCs/>
        </w:rPr>
        <w:t>，凝练总结工作经验，在本地区做好示范推广。</w:t>
      </w:r>
    </w:p>
    <w:p w14:paraId="5DC8CE1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lang w:eastAsia="zh-CN"/>
        </w:rPr>
        <w:t>第五条【建设方式】</w:t>
      </w:r>
      <w:r>
        <w:rPr>
          <w:rFonts w:hint="default" w:ascii="Times New Roman" w:hAnsi="Times New Roman" w:eastAsia="方正黑体_GBK" w:cs="Times New Roman"/>
          <w:b w:val="0"/>
          <w:bCs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lang w:val="en-US" w:eastAsia="zh-CN"/>
        </w:rPr>
        <w:t>采取“自上而下”与“自下而上”相结合的方式，聚焦</w:t>
      </w:r>
      <w:r>
        <w:rPr>
          <w:rFonts w:hint="eastAsia" w:ascii="Times New Roman" w:hAnsi="Times New Roman" w:eastAsia="方正仿宋_GBK" w:cs="Times New Roman"/>
          <w:b w:val="0"/>
          <w:bCs/>
          <w:lang w:val="en-US" w:eastAsia="zh-CN"/>
        </w:rPr>
        <w:t>“十五五”</w:t>
      </w:r>
      <w:r>
        <w:rPr>
          <w:rFonts w:hint="default" w:ascii="Times New Roman" w:hAnsi="Times New Roman" w:eastAsia="方正仿宋_GBK" w:cs="Times New Roman"/>
          <w:b w:val="0"/>
          <w:bCs/>
          <w:lang w:val="en-US" w:eastAsia="zh-CN"/>
        </w:rPr>
        <w:t>安徽省现代化产业体系，强化顶层设计，体系化布局，鼓励各类创新主体自行探索、自主建设、市场化运营、省级统筹布局备案。</w:t>
      </w:r>
    </w:p>
    <w:p w14:paraId="267FE117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/>
        <w:rPr>
          <w:rFonts w:hint="default" w:ascii="Times New Roman" w:hAnsi="Times New Roman" w:eastAsia="方正黑体_GBK" w:cs="Times New Roman"/>
          <w:b w:val="0"/>
          <w:bCs/>
        </w:rPr>
      </w:pPr>
      <w:r>
        <w:rPr>
          <w:rFonts w:hint="default" w:ascii="Times New Roman" w:hAnsi="Times New Roman" w:eastAsia="方正黑体_GBK" w:cs="Times New Roman"/>
          <w:b w:val="0"/>
          <w:bCs/>
        </w:rPr>
        <w:t>第二章  备案条件及程序</w:t>
      </w:r>
    </w:p>
    <w:p w14:paraId="6D6E7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第六条【基础条件】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申报备案概念验证中心和中试基地须具备以下共性基础条件：</w:t>
      </w:r>
    </w:p>
    <w:p w14:paraId="26BFE8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依托单位应为在安徽省注册登记、具有独立法人资格的高校院所、医疗卫生机构、科技型企业、社会组织等。符合国家环保、消防、安全生产等要求，强化知识产权、科技保密、科研诚信、科技伦理管理，近三年内未发生司法、行政机关认定的严重违法失信行为。</w:t>
      </w:r>
    </w:p>
    <w:p w14:paraId="17BCF9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2.具有围绕我省重点产业领域技术需求，面向社会各类创新主体提供成果转化开放共享服务的能力和意愿。</w:t>
      </w:r>
    </w:p>
    <w:p w14:paraId="5E05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对外发布并定期更新服务清单，有良好的商业信誉和科研诚信记录、健全的运营管理制度、规范的服务流程、明晰的收费标准、完善的服务质量保障措施、严格的信息保密规范、较强的自我造血能力，具有财务收支专项或独立核算制度。</w:t>
      </w:r>
    </w:p>
    <w:p w14:paraId="3A71D640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第七条【备案条件】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申报备案概念验证中心在具备第六条规定的基础条件以外，还需符合以下条件：</w:t>
      </w:r>
    </w:p>
    <w:p w14:paraId="265D8BE9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1.具备开展概念验证活动的配套条件，能够对接产业链上下游应用场景。具备开展概念验证服务的固定工作场所；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科研仪器设备和软件原值不低于500万元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；单独或与其他主体合作设立不低于500万元的概念验证专项资金或基金；能够整合产业链上下游相关资源，提供技术验证、场景验证、市场分析、商业化支持等全链条服务。</w:t>
      </w:r>
    </w:p>
    <w:p w14:paraId="7AFC6AA2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2.具备开展概念验证服务的专业团队和专家顾问团队。概念验证中心负责人应熟悉概念验证、商业咨询、投融资、创业孵化等全链条科技成果转化流程；概念验证服务专业团队不少于10人，具有科技成果转化、产品开发、概念验证、投融资、创业孵化等专业背景或技术经理人资格的专职人员不少于5人；建有概念验证服务专家顾问团队不少于10人，由学术界、产业界和投资界专家组成，负责对概念验证项目库入库项目和需求进行遴选和评价。</w:t>
      </w:r>
    </w:p>
    <w:p w14:paraId="50C319A3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3.建有项目和需求汇聚入库机制，面向社会开放概念验证服务，常态化征集企业技术需求。近三年累计开展概念验证项目不少于50项，其中无隶属或关联的验证服务项目不少于10项，实现熟化转化不少于10项（通过概念验证后，获得股权融资、在皖完成公司注册、技术合作、技术转让、技术许可，或新获取临床批件、知识产权等）。</w:t>
      </w:r>
    </w:p>
    <w:p w14:paraId="1889A2B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第八条【备案条件】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申报备案中试基地在具备第六条规定的基础条件以外，还需符合以下条件：</w:t>
      </w:r>
    </w:p>
    <w:p w14:paraId="1305E78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建设主体拥有较为完善的中试研究开发与试验条件，拥有本行业必要的通用计量、检测仪器、常规实验设备，有承担行业综合性中间试验任务必备的专用设备、场地及配套设施。中试场地及配套设施面积不低于2000平方米，设备及专用软件原值应当不低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万元，需按规定开展科学研究和技术服务业固定资产纳统登记。</w:t>
      </w:r>
    </w:p>
    <w:p w14:paraId="799D508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建设主体拥有稳定、专业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人才队伍，应有相关领域研发能力强、技术水平高、工程化实践经验丰富的工程技术带头人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从事中试服务的技术团队人员不少于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人，其中具有本科（含）以上学历的科技人员不低于技术团队人员总人数的50%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有固定研发团队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具备组织制定科学合理的中试熟化方案、工艺规程以及控制生产质量能力。</w:t>
      </w:r>
    </w:p>
    <w:p w14:paraId="14471847">
      <w:pPr>
        <w:pStyle w:val="6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both"/>
        <w:rPr>
          <w:rFonts w:hint="default" w:ascii="Times New Roman" w:hAnsi="Times New Roman" w:eastAsia="方正仿宋_GBK" w:cs="Times New Roman"/>
          <w:b w:val="0"/>
          <w:bCs/>
          <w:color w:val="auto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eastAsia="zh-CN"/>
        </w:rPr>
        <w:t>第九条【备案程序】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</w:rPr>
        <w:t>概念验证中心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</w:rPr>
        <w:t>备案程序：</w:t>
      </w:r>
    </w:p>
    <w:p w14:paraId="3AF2D9F0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1.需求发布。省科技厅根据各地及有关创新主体发展需要，征集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凝练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概念验证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和中试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服务需求并发布备案通知。</w:t>
      </w:r>
    </w:p>
    <w:p w14:paraId="2CBD6E51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2.自主申报。依托单位向所在市科技部门提出备案申请，提交相关材料，并承诺材料真实、有效、完整，符合相关要求，承担相应责任。</w:t>
      </w:r>
    </w:p>
    <w:p w14:paraId="2A6E8348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3.审核推荐。各市科技部门对申请单位运营状态、信用等情况以及申报材料真实性、有效性进行审核，进行现场核查后，向省科技厅提交推荐名单。</w:t>
      </w:r>
    </w:p>
    <w:p w14:paraId="1E1F0470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4.组织评审。省科技厅委托第三方机构或组织专家，对申报主体进行综合评审，择优提出概念验证中心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和中试基地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拟备案名单建议。</w:t>
      </w:r>
    </w:p>
    <w:p w14:paraId="5EECC43D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outlineLvl w:val="0"/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5.公示确定。拟备案名单经省科技厅按流程决策后予以公示。公示无异议的，由省科技厅发文公布备案名单。</w:t>
      </w:r>
    </w:p>
    <w:p w14:paraId="50F3D32D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outlineLvl w:val="0"/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第三章  绩效评价</w:t>
      </w:r>
    </w:p>
    <w:p w14:paraId="18DAE40B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第十条【评价周期】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概念验证中心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中试基地实行定期评价，每年开展一次评价工作，评价数据采用上一年度数据，评价结果反映概念验证中心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上一年度运营情况和服务成果转化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质效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70CCE19F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第十一条【评价指标】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概念验证中心绩效评价指标体系主要包括概念验证服务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基础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、概念验证服务成效两项一级指标和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项二级指标。</w:t>
      </w:r>
    </w:p>
    <w:p w14:paraId="40387177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概念验证服务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基础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。包括概念验证中心建设运营管理情况、概念验证中心建设专项资金或基金使用情况、专业化团队建设情况、专业化设备建设情况、资源协同情况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5项指标。</w:t>
      </w:r>
    </w:p>
    <w:p w14:paraId="2488616A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概念验证服务成效。包括概念验证服务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项目数量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概念验证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收入情况、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已完成服务项目成果转化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情况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、概念验证典型案例专业性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项指标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 w14:paraId="0D1C7962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第十二条【评价指标】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中试基地绩效评价指标体系主要包括中试服务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基础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、中试服务成效两项一级指标和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项二级指标。</w:t>
      </w:r>
    </w:p>
    <w:p w14:paraId="06CA6999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服务基础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。包括中试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基地运营管理情况、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场地设备情况、当年研发投入情况、技术团队内中试人才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  <w:t>情况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、依托单位新获得资质情况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5项指标。</w:t>
      </w:r>
    </w:p>
    <w:p w14:paraId="191DD0F4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中试服务成效。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包括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中试服务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数量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、中试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收入、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中试服务项目产业化情况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、中试服务典型案例专业性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项指标。</w:t>
      </w:r>
    </w:p>
    <w:p w14:paraId="16F583C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</w:rPr>
      </w:pPr>
      <w:r>
        <w:rPr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eastAsia="zh-CN"/>
        </w:rPr>
        <w:t>第十三条【评价程序】</w:t>
      </w:r>
      <w:r>
        <w:rPr>
          <w:rFonts w:hint="default" w:ascii="Times New Roman" w:hAnsi="Times New Roman" w:eastAsia="方正楷体_GBK" w:cs="Times New Roman"/>
          <w:b w:val="0"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sz w:val="32"/>
          <w:szCs w:val="32"/>
          <w:lang w:val="en-US" w:eastAsia="zh-CN"/>
        </w:rPr>
        <w:t>概念验证中心和中试基地绩效评价流程：</w:t>
      </w:r>
    </w:p>
    <w:p w14:paraId="65BC3440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7" w:firstLineChars="196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自评。各概念验证中心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中试基地建设主体按年度绩效评价工作通知要求，负责开展概念验证中心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自评总结，提供年度总结报告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、下一年度工作绩效目标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以及相关佐证材料，并对上述材料的真实性、数据的准确性负责，承担材料和数据失实的主要责任。</w:t>
      </w:r>
    </w:p>
    <w:p w14:paraId="5BBD1186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7" w:firstLineChars="196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核查。概念验证中心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中试基地归口管理部门负责组织辖区内或所属的概念验证中心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参加年度绩效评价，对其提交的年度绩效相关材料的真实性、完整性进行审查，形成初审意见，汇总后报送至省科技厅。</w:t>
      </w:r>
    </w:p>
    <w:p w14:paraId="3DD1A7C9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7" w:firstLineChars="196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评审。省科技厅组织专家或第三方机构开展概念验证中心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年度绩效评价工作，专家组根据绩效评价材料进行打分，形成年度绩效评价意见，同时对概念验证中心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和中试基地的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下一年度绩效目标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合理性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提出意见建议，提交省科技厅。省科技厅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根据需要，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组织专家进行现场考察。</w:t>
      </w:r>
    </w:p>
    <w:p w14:paraId="671192E4">
      <w:pPr>
        <w:pageBreakBefore w:val="0"/>
        <w:tabs>
          <w:tab w:val="left" w:pos="8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7" w:firstLineChars="196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公示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发布。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省科技厅根据专家组绩效评价意见形成“优秀、良好、合格、不合格”概念验证中心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名单，并在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省科技厅网站上进行公示。公示无异议后，发布最终评价结果，并反馈至归口管理部门。</w:t>
      </w:r>
    </w:p>
    <w:p w14:paraId="3BCA2B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lang w:val="en-US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 xml:space="preserve">第十四条【评价结果】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原则上评价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优秀、良好的中试基地、概念验证中心数量不超过参与评价总数的50%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。无正当理由不参加评价或中途退出评价的，评价结果认定为“不合格”。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评价结果为不合格的，给予1年整改，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列入整改的概念验证中心和中试基地应制订整改方案，在归口管理部门指导下，对存在的问题和不足进行整改，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整改后评价结果仍不合格的，取消备案资格。</w:t>
      </w:r>
    </w:p>
    <w:p w14:paraId="41244F16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/>
        <w:jc w:val="center"/>
        <w:outlineLvl w:val="0"/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第四章  支持措施</w:t>
      </w:r>
    </w:p>
    <w:p w14:paraId="1194B4E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第十五条【资金支持】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 xml:space="preserve">  根据绩效评价情况，对绩效评价“优秀”“良好”的概念验证中心和中试基地给予最高100万元经费支持，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支持经费不超过评价年度服务收入的20%。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支持经费分两年度拨付，当年拨付资金最高不超过50万元，剩余资金在下一年度根据绩效目标完成情况拨付。支持经费需用于概念验证或中试服务项目。鼓励有条件的市、县、开发区等，统筹资源支持概念验证中心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和中试基地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建设。</w:t>
      </w:r>
    </w:p>
    <w:p w14:paraId="4D4DADC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 xml:space="preserve">第十六条【资源协同】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鼓励概念验证中心和中试基地探索多样化模式，探索构建全省概念验证、中试孵化生态协同机制，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发布全省概念验证中心和中试服务能力清单，为全省概念验证中心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中试基地提供资源对接、专家咨询、活动交流、成果推广、转移转化、金融支持、宣传引导等服务。</w:t>
      </w:r>
    </w:p>
    <w:p w14:paraId="78EE8A8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Cs w:val="32"/>
        </w:rPr>
        <w:t>第</w:t>
      </w:r>
      <w:r>
        <w:rPr>
          <w:rFonts w:hint="default" w:ascii="Times New Roman" w:hAnsi="Times New Roman" w:eastAsia="方正黑体_GBK" w:cs="Times New Roman"/>
          <w:b w:val="0"/>
          <w:bCs/>
          <w:szCs w:val="32"/>
          <w:lang w:eastAsia="zh-CN"/>
        </w:rPr>
        <w:t>五</w:t>
      </w:r>
      <w:r>
        <w:rPr>
          <w:rFonts w:hint="default" w:ascii="Times New Roman" w:hAnsi="Times New Roman" w:eastAsia="方正黑体_GBK" w:cs="Times New Roman"/>
          <w:b w:val="0"/>
          <w:bCs/>
          <w:szCs w:val="32"/>
        </w:rPr>
        <w:t>章  监督管理</w:t>
      </w:r>
    </w:p>
    <w:p w14:paraId="00D0FA8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第十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  <w:t>条</w:t>
      </w: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eastAsia="zh-CN"/>
        </w:rPr>
        <w:t>【年度报告】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建立概念验证中心和中试基地年度报告制度。概念验证中心和中试基地每年应向省科技厅报送年度运行报告（包括但不限于服务能力、服务成效、可持续发展能力、社会效益等方面工作情况、取得的成效及下一年度工作计划），年度报告将作为绩效评价的重要内容。依托单位发生与备案条件有关的重大变化（如分立、合并、重组以及经营业务发生变化等），应在三个月内由归口管理部门向省科技厅报告。经审核仍符合备案条件的，其资格不变；不再符合备案条件的，取消备案资格。</w:t>
      </w:r>
    </w:p>
    <w:p w14:paraId="77E0794A">
      <w:pPr>
        <w:pageBreakBefore w:val="0"/>
        <w:tabs>
          <w:tab w:val="left" w:pos="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lang w:val="en-US" w:eastAsia="zh-CN"/>
        </w:rPr>
        <w:t>第十八条【动态管理】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存在下列情形之一的，撤销省级概念验证中心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中试基地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资格，自撤销之日起，两年内不得再次申请省级概念验证中心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和中试基地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BED595C">
      <w:pPr>
        <w:pageBreakBefore w:val="0"/>
        <w:tabs>
          <w:tab w:val="left" w:pos="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材料弄虚作假并经查实的；</w:t>
      </w:r>
    </w:p>
    <w:p w14:paraId="42349567">
      <w:pPr>
        <w:pageBreakBefore w:val="0"/>
        <w:tabs>
          <w:tab w:val="left" w:pos="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由于管理不善导致严重服务质量事故、安全事故、环保事故，或不再具备对外服务能力等情形的；</w:t>
      </w:r>
    </w:p>
    <w:p w14:paraId="223E45F8">
      <w:pPr>
        <w:pageBreakBefore w:val="0"/>
        <w:tabs>
          <w:tab w:val="left" w:pos="6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3.连续两次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绩效评价“不合格”的。</w:t>
      </w:r>
    </w:p>
    <w:p w14:paraId="20F12E0D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firstLine="0" w:firstLineChars="0"/>
        <w:jc w:val="center"/>
        <w:rPr>
          <w:rFonts w:hint="default" w:ascii="Times New Roman" w:hAnsi="Times New Roman" w:eastAsia="方正黑体_GBK" w:cs="Times New Roman"/>
          <w:b w:val="0"/>
          <w:bCs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Cs w:val="32"/>
        </w:rPr>
        <w:t>第</w:t>
      </w:r>
      <w:r>
        <w:rPr>
          <w:rFonts w:hint="default" w:ascii="Times New Roman" w:hAnsi="Times New Roman" w:eastAsia="方正黑体_GBK" w:cs="Times New Roman"/>
          <w:b w:val="0"/>
          <w:bCs/>
          <w:szCs w:val="32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b w:val="0"/>
          <w:bCs/>
          <w:szCs w:val="32"/>
        </w:rPr>
        <w:t>章  附  则</w:t>
      </w:r>
    </w:p>
    <w:p w14:paraId="382CE40B">
      <w:pPr>
        <w:pageBreakBefore w:val="0"/>
        <w:tabs>
          <w:tab w:val="left" w:pos="31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第十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方正楷体_GBK" w:cs="Times New Roman"/>
          <w:b/>
          <w:bCs/>
          <w:sz w:val="32"/>
          <w:szCs w:val="32"/>
        </w:rPr>
        <w:t>条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本办法由省科技厅负责解释，自XX年XX月XX日起</w:t>
      </w:r>
      <w:r>
        <w:rPr>
          <w:rFonts w:hint="default" w:ascii="Times New Roman" w:hAnsi="Times New Roman" w:eastAsia="方正仿宋_GBK" w:cs="Times New Roman"/>
          <w:sz w:val="32"/>
        </w:rPr>
        <w:t>实施，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《安徽省科技成果转化中试基地建设指引（试行）》《安徽省科技成果转化概念验证中心备案办法（试行）》同步废止。</w:t>
      </w:r>
    </w:p>
    <w:p w14:paraId="3DDFF51E">
      <w:pPr>
        <w:pageBreakBefore w:val="0"/>
        <w:tabs>
          <w:tab w:val="left" w:pos="31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736159C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1E68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9367C16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367C16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D4922"/>
    <w:multiLevelType w:val="singleLevel"/>
    <w:tmpl w:val="644D4922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D30A6"/>
    <w:rsid w:val="17AD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widowControl w:val="0"/>
      <w:spacing w:before="50" w:beforeLines="50" w:after="50" w:afterLines="50" w:line="560" w:lineRule="exact"/>
      <w:ind w:firstLine="420" w:firstLineChars="200"/>
      <w:jc w:val="both"/>
      <w:outlineLvl w:val="0"/>
    </w:pPr>
    <w:rPr>
      <w:rFonts w:ascii="Times New Roman" w:hAnsi="Times New Roman" w:eastAsia="黑体" w:cs="Times New Roman"/>
      <w:b/>
      <w:kern w:val="44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next w:val="1"/>
    <w:unhideWhenUsed/>
    <w:qFormat/>
    <w:uiPriority w:val="99"/>
    <w:pPr>
      <w:widowControl w:val="0"/>
      <w:suppressAutoHyphens/>
      <w:bidi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styleId="6">
    <w:name w:val="Title"/>
    <w:qFormat/>
    <w:uiPriority w:val="0"/>
    <w:pPr>
      <w:widowControl w:val="0"/>
      <w:suppressAutoHyphens/>
      <w:bidi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color w:val="auto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2026-03-30T01:03:00Z</dcterms:created>
  <dc:creator>何玉清</dc:creator>
  <cp:lastModifiedBy>何玉清</cp:lastModifiedBy>
  <dcterms:modified xsi:type="dcterms:W3CDTF">2026-03-30T01:03:47Z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D8E761520F0C430798AF0C13C2AB4F74_11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